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9F" w:rsidRDefault="005A429F" w:rsidP="005A429F">
      <w:pPr>
        <w:pStyle w:val="Heading1"/>
      </w:pPr>
      <w:r>
        <w:t xml:space="preserve">ACME ROE </w:t>
      </w:r>
      <w:r w:rsidRPr="00CE6B99">
        <w:t>New Teacher Orientation</w:t>
      </w:r>
      <w:r>
        <w:t xml:space="preserve"> and Workshop Series</w:t>
      </w:r>
      <w:bookmarkStart w:id="0" w:name="_GoBack"/>
      <w:bookmarkEnd w:id="0"/>
    </w:p>
    <w:p w:rsidR="005A429F" w:rsidRDefault="005A429F" w:rsidP="005A429F">
      <w:pPr>
        <w:ind w:left="360"/>
        <w:jc w:val="both"/>
        <w:rPr>
          <w:b/>
        </w:rPr>
      </w:pPr>
    </w:p>
    <w:p w:rsidR="005A429F" w:rsidRDefault="005A429F" w:rsidP="005A429F">
      <w:pPr>
        <w:jc w:val="both"/>
      </w:pPr>
      <w:r>
        <w:rPr>
          <w:b/>
        </w:rPr>
        <w:t>Orientation</w:t>
      </w:r>
      <w:r>
        <w:t xml:space="preserve"> will take place on site first at the district and then at the school where the new teacher is assigned.   In most of the 13 participating districts and 25 schools this will take place on August 16, after the first two days of the new teacher workshop series.  The orientation consists of acquainting the new teacher with</w:t>
      </w:r>
      <w:r w:rsidRPr="0078102C">
        <w:t xml:space="preserve"> district and school policies and procedures with special emphasis on the school improvement plan, expectations for planning professional development in order to meet the Illinois Professional Teaching Standards, and the content standards applicable to the new teacher’s area certification.</w:t>
      </w:r>
      <w:r>
        <w:t xml:space="preserve"> In addition, districts will provide a professional and social introduction to the school environment. New teachers will attend the following five workshops:</w:t>
      </w:r>
    </w:p>
    <w:p w:rsidR="005A429F" w:rsidRPr="0078102C" w:rsidRDefault="005A429F" w:rsidP="005A429F">
      <w:pPr>
        <w:jc w:val="both"/>
      </w:pPr>
    </w:p>
    <w:p w:rsidR="005A429F" w:rsidRDefault="005A429F" w:rsidP="005A429F">
      <w:pPr>
        <w:jc w:val="both"/>
        <w:rPr>
          <w:b/>
        </w:rPr>
      </w:pPr>
      <w:r>
        <w:rPr>
          <w:b/>
        </w:rPr>
        <w:t>The New Teacher Series: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71"/>
        <w:gridCol w:w="1771"/>
        <w:gridCol w:w="1771"/>
        <w:gridCol w:w="1772"/>
      </w:tblGrid>
      <w:tr w:rsidR="005A429F" w:rsidTr="002938A9">
        <w:tc>
          <w:tcPr>
            <w:tcW w:w="1771" w:type="dxa"/>
            <w:shd w:val="clear" w:color="auto" w:fill="auto"/>
          </w:tcPr>
          <w:p w:rsidR="005A429F" w:rsidRDefault="005A429F" w:rsidP="002938A9">
            <w:pPr>
              <w:jc w:val="both"/>
            </w:pPr>
            <w:r>
              <w:t>Event Number</w:t>
            </w:r>
          </w:p>
        </w:tc>
        <w:tc>
          <w:tcPr>
            <w:tcW w:w="1771" w:type="dxa"/>
            <w:shd w:val="clear" w:color="auto" w:fill="auto"/>
          </w:tcPr>
          <w:p w:rsidR="005A429F" w:rsidRDefault="005A429F" w:rsidP="002938A9">
            <w:pPr>
              <w:jc w:val="both"/>
            </w:pPr>
            <w:r>
              <w:t>Title</w:t>
            </w:r>
          </w:p>
        </w:tc>
        <w:tc>
          <w:tcPr>
            <w:tcW w:w="1771" w:type="dxa"/>
            <w:shd w:val="clear" w:color="auto" w:fill="auto"/>
          </w:tcPr>
          <w:p w:rsidR="005A429F" w:rsidRDefault="005A429F" w:rsidP="002938A9">
            <w:pPr>
              <w:jc w:val="both"/>
            </w:pPr>
            <w:r>
              <w:t>Date and Time</w:t>
            </w:r>
          </w:p>
        </w:tc>
        <w:tc>
          <w:tcPr>
            <w:tcW w:w="1772" w:type="dxa"/>
            <w:shd w:val="clear" w:color="auto" w:fill="auto"/>
          </w:tcPr>
          <w:p w:rsidR="005A429F" w:rsidRDefault="005A429F" w:rsidP="002938A9">
            <w:pPr>
              <w:jc w:val="both"/>
            </w:pPr>
            <w:r>
              <w:t>CPDU’s</w:t>
            </w:r>
          </w:p>
        </w:tc>
      </w:tr>
      <w:tr w:rsidR="005A429F" w:rsidTr="002938A9">
        <w:tc>
          <w:tcPr>
            <w:tcW w:w="1771" w:type="dxa"/>
            <w:shd w:val="clear" w:color="auto" w:fill="auto"/>
          </w:tcPr>
          <w:p w:rsidR="005A429F" w:rsidRDefault="005A429F" w:rsidP="002938A9">
            <w:pPr>
              <w:jc w:val="both"/>
            </w:pPr>
            <w:r>
              <w:t>7201</w:t>
            </w:r>
          </w:p>
        </w:tc>
        <w:tc>
          <w:tcPr>
            <w:tcW w:w="1771" w:type="dxa"/>
            <w:shd w:val="clear" w:color="auto" w:fill="auto"/>
          </w:tcPr>
          <w:p w:rsidR="005A429F" w:rsidRDefault="005A429F" w:rsidP="002938A9">
            <w:pPr>
              <w:jc w:val="both"/>
            </w:pPr>
            <w:r>
              <w:t>Everything You Ought to Know about Teaching but Were Never Told!</w:t>
            </w:r>
          </w:p>
        </w:tc>
        <w:tc>
          <w:tcPr>
            <w:tcW w:w="1771" w:type="dxa"/>
            <w:shd w:val="clear" w:color="auto" w:fill="auto"/>
          </w:tcPr>
          <w:p w:rsidR="005A429F" w:rsidRDefault="005A429F" w:rsidP="002938A9">
            <w:pPr>
              <w:jc w:val="both"/>
            </w:pPr>
            <w:r>
              <w:t>August  14 &amp; 15, 2006</w:t>
            </w:r>
          </w:p>
          <w:p w:rsidR="005A429F" w:rsidRDefault="005A429F" w:rsidP="002938A9">
            <w:pPr>
              <w:jc w:val="both"/>
            </w:pPr>
            <w:r>
              <w:t xml:space="preserve">8:30-3 PM </w:t>
            </w:r>
          </w:p>
        </w:tc>
        <w:tc>
          <w:tcPr>
            <w:tcW w:w="1772" w:type="dxa"/>
            <w:shd w:val="clear" w:color="auto" w:fill="auto"/>
          </w:tcPr>
          <w:p w:rsidR="005A429F" w:rsidRDefault="005A429F" w:rsidP="002938A9">
            <w:pPr>
              <w:jc w:val="both"/>
            </w:pPr>
            <w:r>
              <w:t>12</w:t>
            </w:r>
          </w:p>
        </w:tc>
      </w:tr>
      <w:tr w:rsidR="005A429F" w:rsidTr="002938A9">
        <w:tc>
          <w:tcPr>
            <w:tcW w:w="1771" w:type="dxa"/>
            <w:shd w:val="clear" w:color="auto" w:fill="auto"/>
          </w:tcPr>
          <w:p w:rsidR="005A429F" w:rsidRDefault="005A429F" w:rsidP="002938A9">
            <w:pPr>
              <w:jc w:val="both"/>
            </w:pPr>
            <w:r>
              <w:t>7203</w:t>
            </w:r>
          </w:p>
        </w:tc>
        <w:tc>
          <w:tcPr>
            <w:tcW w:w="1771" w:type="dxa"/>
            <w:shd w:val="clear" w:color="auto" w:fill="auto"/>
          </w:tcPr>
          <w:p w:rsidR="005A429F" w:rsidRDefault="005A429F" w:rsidP="002938A9">
            <w:pPr>
              <w:jc w:val="both"/>
            </w:pPr>
            <w:r>
              <w:t>Ten Strategies for Growth</w:t>
            </w:r>
          </w:p>
        </w:tc>
        <w:tc>
          <w:tcPr>
            <w:tcW w:w="1771" w:type="dxa"/>
            <w:shd w:val="clear" w:color="auto" w:fill="auto"/>
          </w:tcPr>
          <w:p w:rsidR="005A429F" w:rsidRDefault="005A429F" w:rsidP="002938A9">
            <w:pPr>
              <w:jc w:val="both"/>
            </w:pPr>
            <w:r>
              <w:t>Oct 3, 2006</w:t>
            </w:r>
          </w:p>
          <w:p w:rsidR="005A429F" w:rsidRDefault="005A429F" w:rsidP="002938A9">
            <w:pPr>
              <w:jc w:val="both"/>
            </w:pPr>
            <w:r>
              <w:t>1-4:00 PM</w:t>
            </w:r>
          </w:p>
        </w:tc>
        <w:tc>
          <w:tcPr>
            <w:tcW w:w="1772" w:type="dxa"/>
            <w:shd w:val="clear" w:color="auto" w:fill="auto"/>
          </w:tcPr>
          <w:p w:rsidR="005A429F" w:rsidRDefault="005A429F" w:rsidP="002938A9">
            <w:pPr>
              <w:jc w:val="both"/>
            </w:pPr>
            <w:r>
              <w:t>3</w:t>
            </w:r>
          </w:p>
        </w:tc>
      </w:tr>
      <w:tr w:rsidR="005A429F" w:rsidTr="002938A9">
        <w:tc>
          <w:tcPr>
            <w:tcW w:w="1771" w:type="dxa"/>
            <w:shd w:val="clear" w:color="auto" w:fill="auto"/>
          </w:tcPr>
          <w:p w:rsidR="005A429F" w:rsidRDefault="005A429F" w:rsidP="002938A9">
            <w:pPr>
              <w:jc w:val="both"/>
            </w:pPr>
            <w:r>
              <w:t>7202</w:t>
            </w:r>
          </w:p>
        </w:tc>
        <w:tc>
          <w:tcPr>
            <w:tcW w:w="1771" w:type="dxa"/>
            <w:shd w:val="clear" w:color="auto" w:fill="auto"/>
          </w:tcPr>
          <w:p w:rsidR="005A429F" w:rsidRDefault="005A429F" w:rsidP="002938A9">
            <w:pPr>
              <w:jc w:val="both"/>
            </w:pPr>
            <w:r>
              <w:t>Preparing for Second Semester Opportunities</w:t>
            </w:r>
          </w:p>
        </w:tc>
        <w:tc>
          <w:tcPr>
            <w:tcW w:w="1771" w:type="dxa"/>
            <w:shd w:val="clear" w:color="auto" w:fill="auto"/>
          </w:tcPr>
          <w:p w:rsidR="005A429F" w:rsidRDefault="005A429F" w:rsidP="002938A9">
            <w:pPr>
              <w:jc w:val="both"/>
            </w:pPr>
            <w:r>
              <w:t>Jan. 24, 2007</w:t>
            </w:r>
          </w:p>
          <w:p w:rsidR="005A429F" w:rsidRDefault="005A429F" w:rsidP="002938A9">
            <w:pPr>
              <w:jc w:val="both"/>
            </w:pPr>
            <w:r>
              <w:t>1-4:00 PM</w:t>
            </w:r>
          </w:p>
        </w:tc>
        <w:tc>
          <w:tcPr>
            <w:tcW w:w="1772" w:type="dxa"/>
            <w:shd w:val="clear" w:color="auto" w:fill="auto"/>
          </w:tcPr>
          <w:p w:rsidR="005A429F" w:rsidRDefault="005A429F" w:rsidP="002938A9">
            <w:pPr>
              <w:jc w:val="both"/>
            </w:pPr>
            <w:r>
              <w:t>3</w:t>
            </w:r>
          </w:p>
        </w:tc>
      </w:tr>
      <w:tr w:rsidR="005A429F" w:rsidTr="002938A9">
        <w:tc>
          <w:tcPr>
            <w:tcW w:w="1771" w:type="dxa"/>
            <w:shd w:val="clear" w:color="auto" w:fill="auto"/>
          </w:tcPr>
          <w:p w:rsidR="005A429F" w:rsidRDefault="005A429F" w:rsidP="002938A9">
            <w:pPr>
              <w:jc w:val="both"/>
            </w:pPr>
            <w:r>
              <w:t>7210</w:t>
            </w:r>
          </w:p>
        </w:tc>
        <w:tc>
          <w:tcPr>
            <w:tcW w:w="1771" w:type="dxa"/>
            <w:shd w:val="clear" w:color="auto" w:fill="auto"/>
          </w:tcPr>
          <w:p w:rsidR="005A429F" w:rsidRDefault="005A429F" w:rsidP="002938A9">
            <w:pPr>
              <w:jc w:val="both"/>
            </w:pPr>
            <w:r>
              <w:t>Analyzing Student Work</w:t>
            </w:r>
          </w:p>
        </w:tc>
        <w:tc>
          <w:tcPr>
            <w:tcW w:w="1771" w:type="dxa"/>
            <w:shd w:val="clear" w:color="auto" w:fill="auto"/>
          </w:tcPr>
          <w:p w:rsidR="005A429F" w:rsidRDefault="005A429F" w:rsidP="002938A9">
            <w:pPr>
              <w:jc w:val="both"/>
            </w:pPr>
            <w:r>
              <w:t>Feb 15, 2007</w:t>
            </w:r>
          </w:p>
          <w:p w:rsidR="005A429F" w:rsidRDefault="005A429F" w:rsidP="002938A9">
            <w:pPr>
              <w:jc w:val="both"/>
            </w:pPr>
            <w:r>
              <w:t>1:00-3PM</w:t>
            </w:r>
          </w:p>
        </w:tc>
        <w:tc>
          <w:tcPr>
            <w:tcW w:w="1772" w:type="dxa"/>
            <w:shd w:val="clear" w:color="auto" w:fill="auto"/>
          </w:tcPr>
          <w:p w:rsidR="005A429F" w:rsidRDefault="005A429F" w:rsidP="002938A9">
            <w:pPr>
              <w:jc w:val="both"/>
            </w:pPr>
            <w:r>
              <w:t>3</w:t>
            </w:r>
          </w:p>
        </w:tc>
      </w:tr>
      <w:tr w:rsidR="005A429F" w:rsidTr="002938A9">
        <w:tc>
          <w:tcPr>
            <w:tcW w:w="1771" w:type="dxa"/>
            <w:shd w:val="clear" w:color="auto" w:fill="auto"/>
          </w:tcPr>
          <w:p w:rsidR="005A429F" w:rsidRDefault="005A429F" w:rsidP="002938A9">
            <w:pPr>
              <w:jc w:val="both"/>
            </w:pPr>
            <w:r>
              <w:t>7211</w:t>
            </w:r>
          </w:p>
        </w:tc>
        <w:tc>
          <w:tcPr>
            <w:tcW w:w="1771" w:type="dxa"/>
            <w:shd w:val="clear" w:color="auto" w:fill="auto"/>
          </w:tcPr>
          <w:p w:rsidR="005A429F" w:rsidRDefault="005A429F" w:rsidP="002938A9">
            <w:pPr>
              <w:jc w:val="both"/>
            </w:pPr>
            <w:r>
              <w:t>Celebrations and Assurances</w:t>
            </w:r>
          </w:p>
          <w:p w:rsidR="005A429F" w:rsidRDefault="005A429F" w:rsidP="002938A9">
            <w:pPr>
              <w:jc w:val="both"/>
            </w:pPr>
            <w:r>
              <w:t>Open House</w:t>
            </w:r>
          </w:p>
        </w:tc>
        <w:tc>
          <w:tcPr>
            <w:tcW w:w="1771" w:type="dxa"/>
            <w:shd w:val="clear" w:color="auto" w:fill="auto"/>
          </w:tcPr>
          <w:p w:rsidR="005A429F" w:rsidRDefault="005A429F" w:rsidP="002938A9">
            <w:pPr>
              <w:jc w:val="both"/>
            </w:pPr>
            <w:r>
              <w:t>April 19, 2007</w:t>
            </w:r>
          </w:p>
          <w:p w:rsidR="005A429F" w:rsidRDefault="005A429F" w:rsidP="002938A9">
            <w:pPr>
              <w:jc w:val="both"/>
            </w:pPr>
            <w:r>
              <w:t>4:3-6:30 PM</w:t>
            </w:r>
          </w:p>
        </w:tc>
        <w:tc>
          <w:tcPr>
            <w:tcW w:w="1772" w:type="dxa"/>
            <w:shd w:val="clear" w:color="auto" w:fill="auto"/>
          </w:tcPr>
          <w:p w:rsidR="005A429F" w:rsidRDefault="005A429F" w:rsidP="002938A9">
            <w:pPr>
              <w:jc w:val="both"/>
            </w:pPr>
            <w:r>
              <w:t>0</w:t>
            </w:r>
          </w:p>
        </w:tc>
      </w:tr>
      <w:tr w:rsidR="005A429F" w:rsidTr="002938A9">
        <w:tc>
          <w:tcPr>
            <w:tcW w:w="1771" w:type="dxa"/>
            <w:shd w:val="clear" w:color="auto" w:fill="auto"/>
          </w:tcPr>
          <w:p w:rsidR="005A429F" w:rsidRDefault="005A429F" w:rsidP="002938A9">
            <w:pPr>
              <w:jc w:val="both"/>
            </w:pPr>
            <w:r>
              <w:t>Totals</w:t>
            </w:r>
          </w:p>
        </w:tc>
        <w:tc>
          <w:tcPr>
            <w:tcW w:w="1771" w:type="dxa"/>
            <w:shd w:val="clear" w:color="auto" w:fill="auto"/>
          </w:tcPr>
          <w:p w:rsidR="005A429F" w:rsidRDefault="005A429F" w:rsidP="002938A9">
            <w:pPr>
              <w:jc w:val="both"/>
            </w:pPr>
          </w:p>
        </w:tc>
        <w:tc>
          <w:tcPr>
            <w:tcW w:w="1771" w:type="dxa"/>
            <w:shd w:val="clear" w:color="auto" w:fill="auto"/>
          </w:tcPr>
          <w:p w:rsidR="005A429F" w:rsidRDefault="005A429F" w:rsidP="002938A9">
            <w:pPr>
              <w:jc w:val="both"/>
            </w:pPr>
          </w:p>
        </w:tc>
        <w:tc>
          <w:tcPr>
            <w:tcW w:w="1772" w:type="dxa"/>
            <w:shd w:val="clear" w:color="auto" w:fill="auto"/>
          </w:tcPr>
          <w:p w:rsidR="005A429F" w:rsidRDefault="005A429F" w:rsidP="002938A9">
            <w:pPr>
              <w:jc w:val="both"/>
            </w:pPr>
            <w:r>
              <w:t>21</w:t>
            </w:r>
          </w:p>
        </w:tc>
      </w:tr>
    </w:tbl>
    <w:p w:rsidR="005A429F" w:rsidRDefault="005A429F" w:rsidP="005A429F">
      <w:pPr>
        <w:jc w:val="both"/>
      </w:pPr>
      <w:r>
        <w:t>Ms. White will teach the New Teacher Series.  The curriculum for this series of workshops is derived from the graduate course entitled The Comprehensive Educator: Ten Strategies for Growth.</w:t>
      </w:r>
    </w:p>
    <w:p w:rsidR="005A429F" w:rsidRDefault="005A429F" w:rsidP="005A429F">
      <w:pPr>
        <w:jc w:val="both"/>
      </w:pPr>
    </w:p>
    <w:p w:rsidR="005A429F" w:rsidRDefault="005A429F" w:rsidP="005A429F">
      <w:pPr>
        <w:jc w:val="both"/>
      </w:pPr>
    </w:p>
    <w:p w:rsidR="005A429F" w:rsidRDefault="005A429F" w:rsidP="005A429F">
      <w:pPr>
        <w:jc w:val="both"/>
      </w:pPr>
    </w:p>
    <w:p w:rsidR="005A429F" w:rsidRDefault="005A429F" w:rsidP="005A429F">
      <w:pPr>
        <w:jc w:val="both"/>
      </w:pPr>
    </w:p>
    <w:p w:rsidR="005A429F" w:rsidRPr="00427311" w:rsidRDefault="005A429F" w:rsidP="005A429F">
      <w:pPr>
        <w:jc w:val="both"/>
        <w:rPr>
          <w:b/>
        </w:rPr>
      </w:pPr>
      <w:r w:rsidRPr="00427311">
        <w:rPr>
          <w:b/>
        </w:rPr>
        <w:t>Descriptions of New Teacher Workshops</w:t>
      </w:r>
    </w:p>
    <w:p w:rsidR="005A429F" w:rsidRDefault="005A429F" w:rsidP="005A429F">
      <w:pPr>
        <w:jc w:val="both"/>
      </w:pPr>
    </w:p>
    <w:p w:rsidR="005A429F" w:rsidRDefault="005A429F" w:rsidP="005A429F">
      <w:pPr>
        <w:ind w:right="720"/>
        <w:jc w:val="both"/>
        <w:rPr>
          <w:b/>
        </w:rPr>
      </w:pPr>
      <w:r>
        <w:rPr>
          <w:b/>
        </w:rPr>
        <w:t xml:space="preserve">1. </w:t>
      </w:r>
      <w:r w:rsidRPr="000C3058">
        <w:rPr>
          <w:b/>
        </w:rPr>
        <w:t>Everything You Ought to Know about Teaching but Were Never Told!</w:t>
      </w:r>
    </w:p>
    <w:p w:rsidR="005A429F" w:rsidRPr="000C3058" w:rsidRDefault="005A429F" w:rsidP="005A429F">
      <w:pPr>
        <w:ind w:right="720"/>
        <w:jc w:val="both"/>
        <w:rPr>
          <w:b/>
        </w:rPr>
      </w:pPr>
    </w:p>
    <w:p w:rsidR="005A429F" w:rsidRDefault="005A429F" w:rsidP="005A429F">
      <w:pPr>
        <w:ind w:right="720"/>
        <w:jc w:val="both"/>
      </w:pPr>
      <w:r>
        <w:t xml:space="preserve">Learn ten strategies for personal and professional growth. Topics include stress management and life balance skills for educators, best practices and brain-based </w:t>
      </w:r>
      <w:r>
        <w:lastRenderedPageBreak/>
        <w:t xml:space="preserve">reflections, building classroom communities, comprehension strategies for content area classrooms, current critical educational issues, problem solving skills, quality assessment and instructional planning, the Illinois Professional Teaching Standards, Content Area Standards, and Illinois Learning Standards. </w:t>
      </w:r>
    </w:p>
    <w:p w:rsidR="005A429F" w:rsidRDefault="005A429F" w:rsidP="005A429F">
      <w:pPr>
        <w:ind w:right="720"/>
        <w:jc w:val="both"/>
      </w:pPr>
    </w:p>
    <w:p w:rsidR="005A429F" w:rsidRDefault="005A429F" w:rsidP="005A429F">
      <w:pPr>
        <w:ind w:right="720"/>
        <w:jc w:val="both"/>
        <w:rPr>
          <w:b/>
        </w:rPr>
      </w:pPr>
      <w:r>
        <w:rPr>
          <w:b/>
        </w:rPr>
        <w:t xml:space="preserve">2. </w:t>
      </w:r>
      <w:r w:rsidRPr="000C3058">
        <w:rPr>
          <w:b/>
        </w:rPr>
        <w:t>The New Teacher: Ten Strategies for Growth Revisited</w:t>
      </w:r>
    </w:p>
    <w:p w:rsidR="005A429F" w:rsidRPr="000C3058" w:rsidRDefault="005A429F" w:rsidP="005A429F">
      <w:pPr>
        <w:ind w:right="720"/>
        <w:jc w:val="both"/>
        <w:rPr>
          <w:b/>
        </w:rPr>
      </w:pPr>
    </w:p>
    <w:p w:rsidR="005A429F" w:rsidRDefault="005A429F" w:rsidP="005A429F">
      <w:pPr>
        <w:ind w:right="720"/>
        <w:jc w:val="both"/>
      </w:pPr>
      <w:r>
        <w:t>This workshop will further explore the ten strategies for personal and professional growth introduced in the August workshop with a focus on strengthening skills and removing barriers to growth.  The expert presenter will lead new teachers to an ever deepening understanding, leveraging resources and developing networking skills in order to achieve personal and professional growth goals.</w:t>
      </w:r>
    </w:p>
    <w:p w:rsidR="005A429F" w:rsidRDefault="005A429F" w:rsidP="005A429F">
      <w:pPr>
        <w:ind w:right="720"/>
        <w:jc w:val="both"/>
      </w:pPr>
    </w:p>
    <w:p w:rsidR="005A429F" w:rsidRPr="000C3058" w:rsidRDefault="005A429F" w:rsidP="005A429F">
      <w:pPr>
        <w:ind w:right="720"/>
        <w:jc w:val="both"/>
        <w:rPr>
          <w:b/>
        </w:rPr>
      </w:pPr>
      <w:r>
        <w:rPr>
          <w:b/>
        </w:rPr>
        <w:t xml:space="preserve">3. </w:t>
      </w:r>
      <w:r w:rsidRPr="000C3058">
        <w:rPr>
          <w:b/>
        </w:rPr>
        <w:t>Preparing for Second Semester Opportunities</w:t>
      </w:r>
    </w:p>
    <w:p w:rsidR="005A429F" w:rsidRDefault="005A429F" w:rsidP="005A429F">
      <w:pPr>
        <w:ind w:right="720"/>
        <w:jc w:val="both"/>
      </w:pPr>
    </w:p>
    <w:p w:rsidR="005A429F" w:rsidRDefault="005A429F" w:rsidP="005A429F">
      <w:pPr>
        <w:ind w:right="720"/>
        <w:jc w:val="both"/>
      </w:pPr>
      <w:r>
        <w:t>This workshop is positioned near the beginning of the second semester to support new teachers in delivering effective instruction and increasing student achievement. Participants will explore designing clear learning targets and developing quality assessments.  They will practice stress management and communication skills to promote personal effectiveness, and they will design reading comprehension activities specific to their content area.</w:t>
      </w:r>
    </w:p>
    <w:p w:rsidR="005A429F" w:rsidRDefault="005A429F" w:rsidP="005A429F">
      <w:pPr>
        <w:ind w:right="720"/>
        <w:jc w:val="both"/>
      </w:pPr>
    </w:p>
    <w:p w:rsidR="005A429F" w:rsidRPr="000C3058" w:rsidRDefault="005A429F" w:rsidP="005A429F">
      <w:pPr>
        <w:jc w:val="both"/>
        <w:rPr>
          <w:b/>
        </w:rPr>
      </w:pPr>
      <w:r>
        <w:rPr>
          <w:b/>
        </w:rPr>
        <w:t xml:space="preserve">4. </w:t>
      </w:r>
      <w:r w:rsidRPr="000C3058">
        <w:rPr>
          <w:b/>
        </w:rPr>
        <w:t>New Teachers Analyze Student Work</w:t>
      </w:r>
    </w:p>
    <w:p w:rsidR="005A429F" w:rsidRPr="000C3058" w:rsidRDefault="005A429F" w:rsidP="005A429F">
      <w:pPr>
        <w:jc w:val="both"/>
        <w:rPr>
          <w:b/>
        </w:rPr>
      </w:pPr>
    </w:p>
    <w:p w:rsidR="005A429F" w:rsidRDefault="005A429F" w:rsidP="005A429F">
      <w:pPr>
        <w:jc w:val="both"/>
      </w:pPr>
      <w:r>
        <w:t xml:space="preserve">New teachers will bring samples of student work and join mentors to sort work samples, clarify students’ instructional needs, generate instructional strategies, plan next steps, and then differentiate instruction. </w:t>
      </w:r>
    </w:p>
    <w:p w:rsidR="00A452CB" w:rsidRDefault="00A452CB"/>
    <w:sectPr w:rsidR="00A45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5664B"/>
    <w:multiLevelType w:val="hybridMultilevel"/>
    <w:tmpl w:val="1A1C163A"/>
    <w:lvl w:ilvl="0" w:tplc="786418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9F"/>
    <w:rsid w:val="000A08C2"/>
    <w:rsid w:val="00160E7C"/>
    <w:rsid w:val="001F517A"/>
    <w:rsid w:val="005A429F"/>
    <w:rsid w:val="007A10B7"/>
    <w:rsid w:val="009F43FE"/>
    <w:rsid w:val="00A452CB"/>
    <w:rsid w:val="00F0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4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2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4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2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Brady</dc:creator>
  <cp:lastModifiedBy>Patricia Brady</cp:lastModifiedBy>
  <cp:revision>1</cp:revision>
  <dcterms:created xsi:type="dcterms:W3CDTF">2013-04-23T13:45:00Z</dcterms:created>
  <dcterms:modified xsi:type="dcterms:W3CDTF">2013-04-23T13:46:00Z</dcterms:modified>
</cp:coreProperties>
</file>