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49" w:rsidRPr="00CD72DB" w:rsidRDefault="00CA6849" w:rsidP="00630368">
      <w:pPr>
        <w:autoSpaceDE w:val="0"/>
        <w:autoSpaceDN w:val="0"/>
        <w:adjustRightInd w:val="0"/>
        <w:jc w:val="center"/>
        <w:rPr>
          <w:rFonts w:ascii="TimesNewRomanBdMS" w:hAnsi="TimesNewRomanBdMS" w:cs="TimesNewRomanBdMS"/>
          <w:sz w:val="32"/>
          <w:szCs w:val="32"/>
        </w:rPr>
      </w:pPr>
      <w:r w:rsidRPr="00CD72DB">
        <w:rPr>
          <w:rFonts w:ascii="TimesNewRomanBdMS" w:hAnsi="TimesNewRomanBdMS" w:cs="TimesNewRomanBdMS"/>
          <w:sz w:val="32"/>
          <w:szCs w:val="32"/>
        </w:rPr>
        <w:t>Identifying Needs for Induction Program Development</w:t>
      </w:r>
    </w:p>
    <w:p w:rsidR="00630368" w:rsidRDefault="00630368" w:rsidP="00630368">
      <w:pPr>
        <w:autoSpaceDE w:val="0"/>
        <w:autoSpaceDN w:val="0"/>
        <w:adjustRightInd w:val="0"/>
        <w:rPr>
          <w:rFonts w:ascii="TimesNewRomanBdMS" w:hAnsi="TimesNewRomanBdMS" w:cs="TimesNewRomanBdMS"/>
          <w:sz w:val="22"/>
          <w:szCs w:val="22"/>
        </w:rPr>
      </w:pPr>
    </w:p>
    <w:p w:rsidR="00630368" w:rsidRDefault="00630368" w:rsidP="00630368">
      <w:pPr>
        <w:autoSpaceDE w:val="0"/>
        <w:autoSpaceDN w:val="0"/>
        <w:adjustRightInd w:val="0"/>
        <w:rPr>
          <w:rFonts w:ascii="TimesNewRomanBdMS" w:hAnsi="TimesNewRomanBdMS" w:cs="TimesNewRomanBdMS"/>
          <w:sz w:val="22"/>
          <w:szCs w:val="22"/>
        </w:rPr>
      </w:pPr>
      <w:bookmarkStart w:id="0" w:name="_GoBack"/>
      <w:bookmarkEnd w:id="0"/>
    </w:p>
    <w:p w:rsidR="00630368" w:rsidRDefault="00630368" w:rsidP="00630368">
      <w:pPr>
        <w:autoSpaceDE w:val="0"/>
        <w:autoSpaceDN w:val="0"/>
        <w:adjustRightInd w:val="0"/>
        <w:rPr>
          <w:rFonts w:ascii="TimesNewRomanBdMS" w:hAnsi="TimesNewRomanBdMS" w:cs="TimesNewRomanBdMS"/>
          <w:sz w:val="22"/>
          <w:szCs w:val="22"/>
        </w:rPr>
      </w:pPr>
      <w:r>
        <w:rPr>
          <w:rFonts w:ascii="TimesNewRomanBdMS" w:hAnsi="TimesNewRomanBdMS" w:cs="TimesNewRomanBdMS"/>
          <w:sz w:val="22"/>
          <w:szCs w:val="22"/>
        </w:rPr>
        <w:t xml:space="preserve">For each of these topics, provide two points of information   1) a ranking of one to ten on the highest need (1) to lowest need (10)  for program improvement AND 2) specific suggestions on areas of support. </w:t>
      </w:r>
    </w:p>
    <w:p w:rsidR="00630368" w:rsidRDefault="00630368" w:rsidP="00630368">
      <w:pPr>
        <w:autoSpaceDE w:val="0"/>
        <w:autoSpaceDN w:val="0"/>
        <w:adjustRightInd w:val="0"/>
        <w:rPr>
          <w:rFonts w:ascii="TimesNewRomanBdMS" w:hAnsi="TimesNewRomanBdMS" w:cs="TimesNewRomanBd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170"/>
        <w:gridCol w:w="4428"/>
      </w:tblGrid>
      <w:tr w:rsidR="00630368" w:rsidRPr="00F4772F">
        <w:trPr>
          <w:cantSplit/>
          <w:tblHeader/>
        </w:trPr>
        <w:tc>
          <w:tcPr>
            <w:tcW w:w="3978" w:type="dxa"/>
            <w:shd w:val="clear" w:color="auto" w:fill="F2F2F2"/>
            <w:vAlign w:val="center"/>
          </w:tcPr>
          <w:p w:rsidR="00630368" w:rsidRPr="00303FF7" w:rsidRDefault="00630368" w:rsidP="00630368">
            <w:pPr>
              <w:autoSpaceDE w:val="0"/>
              <w:autoSpaceDN w:val="0"/>
              <w:adjustRightInd w:val="0"/>
              <w:jc w:val="center"/>
              <w:rPr>
                <w:b/>
                <w:sz w:val="22"/>
                <w:szCs w:val="22"/>
              </w:rPr>
            </w:pPr>
            <w:r>
              <w:rPr>
                <w:b/>
                <w:sz w:val="22"/>
                <w:szCs w:val="22"/>
              </w:rPr>
              <w:t>Induction Program Standards</w:t>
            </w:r>
          </w:p>
        </w:tc>
        <w:tc>
          <w:tcPr>
            <w:tcW w:w="1170" w:type="dxa"/>
            <w:shd w:val="clear" w:color="auto" w:fill="F2F2F2"/>
            <w:vAlign w:val="center"/>
          </w:tcPr>
          <w:p w:rsidR="00630368" w:rsidRPr="00303FF7" w:rsidRDefault="00630368" w:rsidP="00630368">
            <w:pPr>
              <w:autoSpaceDE w:val="0"/>
              <w:autoSpaceDN w:val="0"/>
              <w:adjustRightInd w:val="0"/>
              <w:jc w:val="center"/>
              <w:rPr>
                <w:b/>
                <w:sz w:val="22"/>
                <w:szCs w:val="22"/>
              </w:rPr>
            </w:pPr>
            <w:r w:rsidRPr="00303FF7">
              <w:rPr>
                <w:b/>
                <w:sz w:val="22"/>
                <w:szCs w:val="22"/>
              </w:rPr>
              <w:t>Need Rank</w:t>
            </w:r>
          </w:p>
        </w:tc>
        <w:tc>
          <w:tcPr>
            <w:tcW w:w="4428" w:type="dxa"/>
            <w:shd w:val="clear" w:color="auto" w:fill="F2F2F2"/>
            <w:vAlign w:val="center"/>
          </w:tcPr>
          <w:p w:rsidR="00630368" w:rsidRPr="00303FF7" w:rsidRDefault="00630368" w:rsidP="00630368">
            <w:pPr>
              <w:autoSpaceDE w:val="0"/>
              <w:autoSpaceDN w:val="0"/>
              <w:adjustRightInd w:val="0"/>
              <w:jc w:val="center"/>
              <w:rPr>
                <w:b/>
                <w:sz w:val="22"/>
                <w:szCs w:val="22"/>
              </w:rPr>
            </w:pPr>
            <w:r w:rsidRPr="00303FF7">
              <w:rPr>
                <w:b/>
                <w:sz w:val="22"/>
                <w:szCs w:val="22"/>
              </w:rPr>
              <w:t>Specific Needs</w:t>
            </w:r>
          </w:p>
        </w:tc>
      </w:tr>
      <w:tr w:rsidR="00630368" w:rsidRPr="00F4772F">
        <w:trPr>
          <w:cantSplit/>
          <w:tblHeader/>
        </w:trPr>
        <w:tc>
          <w:tcPr>
            <w:tcW w:w="3978" w:type="dxa"/>
          </w:tcPr>
          <w:p w:rsidR="00630368" w:rsidRPr="00F17381" w:rsidRDefault="00630368" w:rsidP="00630368">
            <w:pPr>
              <w:autoSpaceDE w:val="0"/>
              <w:autoSpaceDN w:val="0"/>
              <w:adjustRightInd w:val="0"/>
              <w:rPr>
                <w:b/>
                <w:sz w:val="22"/>
                <w:szCs w:val="22"/>
              </w:rPr>
            </w:pPr>
            <w:r w:rsidRPr="00F17381">
              <w:rPr>
                <w:b/>
                <w:sz w:val="22"/>
                <w:szCs w:val="22"/>
              </w:rPr>
              <w:t xml:space="preserve">1 Induction Program Leadership, Administration, and Support  </w:t>
            </w:r>
          </w:p>
          <w:p w:rsidR="00630368" w:rsidRPr="00F17381" w:rsidRDefault="00630368" w:rsidP="00630368">
            <w:pPr>
              <w:autoSpaceDE w:val="0"/>
              <w:autoSpaceDN w:val="0"/>
              <w:adjustRightInd w:val="0"/>
              <w:rPr>
                <w:sz w:val="22"/>
                <w:szCs w:val="22"/>
              </w:rPr>
            </w:pPr>
            <w:r w:rsidRPr="00F17381">
              <w:rPr>
                <w:sz w:val="22"/>
                <w:szCs w:val="22"/>
              </w:rPr>
              <w:t>The induction program has an administrative structure with specified leaders who plan, implement, evaluate and refine the program through data analysis, program evaluation, and stakeholder communication linked to relevant standards.</w:t>
            </w:r>
          </w:p>
        </w:tc>
        <w:tc>
          <w:tcPr>
            <w:tcW w:w="1170" w:type="dxa"/>
          </w:tcPr>
          <w:p w:rsidR="00630368" w:rsidRPr="00303FF7" w:rsidRDefault="00630368" w:rsidP="00630368">
            <w:pPr>
              <w:autoSpaceDE w:val="0"/>
              <w:autoSpaceDN w:val="0"/>
              <w:adjustRightInd w:val="0"/>
              <w:jc w:val="center"/>
              <w:rPr>
                <w:b/>
                <w:sz w:val="22"/>
                <w:szCs w:val="22"/>
              </w:rPr>
            </w:pPr>
          </w:p>
        </w:tc>
        <w:tc>
          <w:tcPr>
            <w:tcW w:w="4428" w:type="dxa"/>
          </w:tcPr>
          <w:p w:rsidR="00630368" w:rsidRPr="00303FF7" w:rsidRDefault="00630368" w:rsidP="00630368">
            <w:pPr>
              <w:autoSpaceDE w:val="0"/>
              <w:autoSpaceDN w:val="0"/>
              <w:adjustRightInd w:val="0"/>
              <w:jc w:val="center"/>
              <w:rPr>
                <w:b/>
                <w:sz w:val="22"/>
                <w:szCs w:val="22"/>
              </w:rPr>
            </w:pPr>
          </w:p>
        </w:tc>
      </w:tr>
      <w:tr w:rsidR="00630368" w:rsidRPr="00F4772F">
        <w:trPr>
          <w:cantSplit/>
          <w:tblHeader/>
        </w:trPr>
        <w:tc>
          <w:tcPr>
            <w:tcW w:w="3978" w:type="dxa"/>
          </w:tcPr>
          <w:p w:rsidR="00630368" w:rsidRPr="00F17381" w:rsidRDefault="00630368" w:rsidP="00630368">
            <w:pPr>
              <w:autoSpaceDE w:val="0"/>
              <w:autoSpaceDN w:val="0"/>
              <w:adjustRightInd w:val="0"/>
              <w:rPr>
                <w:b/>
                <w:sz w:val="22"/>
                <w:szCs w:val="22"/>
              </w:rPr>
            </w:pPr>
            <w:r w:rsidRPr="00F17381">
              <w:rPr>
                <w:b/>
                <w:sz w:val="22"/>
                <w:szCs w:val="22"/>
              </w:rPr>
              <w:t xml:space="preserve">2 Program Goals and Design </w:t>
            </w:r>
          </w:p>
          <w:p w:rsidR="00630368" w:rsidRPr="00F17381" w:rsidRDefault="00630368" w:rsidP="00630368">
            <w:pPr>
              <w:autoSpaceDE w:val="0"/>
              <w:autoSpaceDN w:val="0"/>
              <w:adjustRightInd w:val="0"/>
              <w:rPr>
                <w:sz w:val="22"/>
                <w:szCs w:val="22"/>
              </w:rPr>
            </w:pPr>
            <w:r w:rsidRPr="00F17381">
              <w:rPr>
                <w:sz w:val="22"/>
                <w:szCs w:val="22"/>
              </w:rPr>
              <w:t>Local program design is focused on beginning teacher development, support, retention and improved student learning. The goals are guided by current induction research, effective practices, Illinois Standards of Quality and Effectiveness for Beginning Teacher Induction Programs, the district/school improvement plan and local concerns/context.</w:t>
            </w:r>
          </w:p>
        </w:tc>
        <w:tc>
          <w:tcPr>
            <w:tcW w:w="1170" w:type="dxa"/>
          </w:tcPr>
          <w:p w:rsidR="00630368" w:rsidRPr="00303FF7" w:rsidRDefault="00630368" w:rsidP="00630368">
            <w:pPr>
              <w:autoSpaceDE w:val="0"/>
              <w:autoSpaceDN w:val="0"/>
              <w:adjustRightInd w:val="0"/>
              <w:jc w:val="center"/>
              <w:rPr>
                <w:b/>
                <w:sz w:val="22"/>
                <w:szCs w:val="22"/>
              </w:rPr>
            </w:pPr>
          </w:p>
        </w:tc>
        <w:tc>
          <w:tcPr>
            <w:tcW w:w="4428" w:type="dxa"/>
          </w:tcPr>
          <w:p w:rsidR="00630368" w:rsidRPr="00303FF7" w:rsidRDefault="00630368" w:rsidP="00630368">
            <w:pPr>
              <w:autoSpaceDE w:val="0"/>
              <w:autoSpaceDN w:val="0"/>
              <w:adjustRightInd w:val="0"/>
              <w:jc w:val="center"/>
              <w:rPr>
                <w:b/>
                <w:sz w:val="22"/>
                <w:szCs w:val="22"/>
              </w:rPr>
            </w:pPr>
          </w:p>
        </w:tc>
      </w:tr>
      <w:tr w:rsidR="00630368" w:rsidRPr="00F4772F">
        <w:trPr>
          <w:cantSplit/>
          <w:tblHeader/>
        </w:trPr>
        <w:tc>
          <w:tcPr>
            <w:tcW w:w="3978" w:type="dxa"/>
          </w:tcPr>
          <w:p w:rsidR="00630368" w:rsidRPr="00F17381" w:rsidRDefault="00630368" w:rsidP="00630368">
            <w:pPr>
              <w:autoSpaceDE w:val="0"/>
              <w:autoSpaceDN w:val="0"/>
              <w:adjustRightInd w:val="0"/>
              <w:rPr>
                <w:b/>
                <w:sz w:val="22"/>
                <w:szCs w:val="22"/>
              </w:rPr>
            </w:pPr>
            <w:r w:rsidRPr="00F17381">
              <w:rPr>
                <w:b/>
                <w:sz w:val="22"/>
                <w:szCs w:val="22"/>
              </w:rPr>
              <w:t xml:space="preserve">3 Resources  </w:t>
            </w:r>
          </w:p>
          <w:p w:rsidR="00630368" w:rsidRPr="00F17381" w:rsidRDefault="00630368" w:rsidP="00630368">
            <w:pPr>
              <w:autoSpaceDE w:val="0"/>
              <w:autoSpaceDN w:val="0"/>
              <w:adjustRightInd w:val="0"/>
              <w:rPr>
                <w:sz w:val="22"/>
                <w:szCs w:val="22"/>
              </w:rPr>
            </w:pPr>
            <w:r w:rsidRPr="00F17381">
              <w:rPr>
                <w:sz w:val="22"/>
                <w:szCs w:val="22"/>
              </w:rPr>
              <w:t>Program leadership allocates and monitors sufficient resources to meet all goals and deliver program components to all participants.</w:t>
            </w:r>
          </w:p>
        </w:tc>
        <w:tc>
          <w:tcPr>
            <w:tcW w:w="1170" w:type="dxa"/>
          </w:tcPr>
          <w:p w:rsidR="00630368" w:rsidRPr="00303FF7" w:rsidRDefault="00630368" w:rsidP="00630368">
            <w:pPr>
              <w:autoSpaceDE w:val="0"/>
              <w:autoSpaceDN w:val="0"/>
              <w:adjustRightInd w:val="0"/>
              <w:jc w:val="center"/>
              <w:rPr>
                <w:b/>
                <w:sz w:val="22"/>
                <w:szCs w:val="22"/>
              </w:rPr>
            </w:pPr>
          </w:p>
        </w:tc>
        <w:tc>
          <w:tcPr>
            <w:tcW w:w="4428" w:type="dxa"/>
          </w:tcPr>
          <w:p w:rsidR="00630368" w:rsidRPr="00303FF7" w:rsidRDefault="00630368" w:rsidP="00630368">
            <w:pPr>
              <w:autoSpaceDE w:val="0"/>
              <w:autoSpaceDN w:val="0"/>
              <w:adjustRightInd w:val="0"/>
              <w:jc w:val="center"/>
              <w:rPr>
                <w:b/>
                <w:sz w:val="22"/>
                <w:szCs w:val="22"/>
              </w:rPr>
            </w:pPr>
          </w:p>
        </w:tc>
      </w:tr>
      <w:tr w:rsidR="00630368" w:rsidRPr="00F4772F">
        <w:trPr>
          <w:cantSplit/>
          <w:tblHeader/>
        </w:trPr>
        <w:tc>
          <w:tcPr>
            <w:tcW w:w="3978" w:type="dxa"/>
          </w:tcPr>
          <w:p w:rsidR="00630368" w:rsidRPr="00F17381" w:rsidRDefault="00630368" w:rsidP="00630368">
            <w:pPr>
              <w:autoSpaceDE w:val="0"/>
              <w:autoSpaceDN w:val="0"/>
              <w:adjustRightInd w:val="0"/>
              <w:rPr>
                <w:b/>
                <w:sz w:val="22"/>
                <w:szCs w:val="22"/>
              </w:rPr>
            </w:pPr>
            <w:r w:rsidRPr="00F17381">
              <w:rPr>
                <w:b/>
                <w:sz w:val="22"/>
                <w:szCs w:val="22"/>
              </w:rPr>
              <w:t xml:space="preserve">4 Site Administrator Roles and Responsibilities  </w:t>
            </w:r>
          </w:p>
          <w:p w:rsidR="00630368" w:rsidRPr="00F17381" w:rsidRDefault="00630368" w:rsidP="00630368">
            <w:pPr>
              <w:autoSpaceDE w:val="0"/>
              <w:autoSpaceDN w:val="0"/>
              <w:adjustRightInd w:val="0"/>
              <w:rPr>
                <w:sz w:val="22"/>
                <w:szCs w:val="22"/>
              </w:rPr>
            </w:pPr>
            <w:r w:rsidRPr="00F17381">
              <w:rPr>
                <w:sz w:val="22"/>
                <w:szCs w:val="22"/>
              </w:rPr>
              <w:t>Site administrators lead efforts to create a positive climate for the delivery of all essential program components. Site administrators and program leadership collaborate to ensure that they are well prepared to assume their responsibilities for supporting beginning teachers in the induction program.</w:t>
            </w:r>
          </w:p>
        </w:tc>
        <w:tc>
          <w:tcPr>
            <w:tcW w:w="1170" w:type="dxa"/>
          </w:tcPr>
          <w:p w:rsidR="00630368" w:rsidRPr="00303FF7" w:rsidRDefault="00630368" w:rsidP="00630368">
            <w:pPr>
              <w:autoSpaceDE w:val="0"/>
              <w:autoSpaceDN w:val="0"/>
              <w:adjustRightInd w:val="0"/>
              <w:jc w:val="center"/>
              <w:rPr>
                <w:b/>
                <w:sz w:val="22"/>
                <w:szCs w:val="22"/>
              </w:rPr>
            </w:pPr>
          </w:p>
        </w:tc>
        <w:tc>
          <w:tcPr>
            <w:tcW w:w="4428" w:type="dxa"/>
          </w:tcPr>
          <w:p w:rsidR="00630368" w:rsidRPr="00303FF7" w:rsidRDefault="00630368" w:rsidP="00630368">
            <w:pPr>
              <w:autoSpaceDE w:val="0"/>
              <w:autoSpaceDN w:val="0"/>
              <w:adjustRightInd w:val="0"/>
              <w:jc w:val="center"/>
              <w:rPr>
                <w:b/>
                <w:sz w:val="22"/>
                <w:szCs w:val="22"/>
              </w:rPr>
            </w:pPr>
          </w:p>
        </w:tc>
      </w:tr>
      <w:tr w:rsidR="00630368" w:rsidRPr="00F4772F">
        <w:trPr>
          <w:cantSplit/>
          <w:tblHeader/>
        </w:trPr>
        <w:tc>
          <w:tcPr>
            <w:tcW w:w="3978" w:type="dxa"/>
          </w:tcPr>
          <w:p w:rsidR="00630368" w:rsidRPr="00F17381" w:rsidRDefault="00630368" w:rsidP="00630368">
            <w:pPr>
              <w:autoSpaceDE w:val="0"/>
              <w:autoSpaceDN w:val="0"/>
              <w:adjustRightInd w:val="0"/>
              <w:rPr>
                <w:b/>
                <w:sz w:val="22"/>
                <w:szCs w:val="22"/>
              </w:rPr>
            </w:pPr>
            <w:r w:rsidRPr="00F17381">
              <w:rPr>
                <w:b/>
                <w:sz w:val="22"/>
                <w:szCs w:val="22"/>
              </w:rPr>
              <w:t xml:space="preserve">5 Mentor Selection and Assignment  </w:t>
            </w:r>
          </w:p>
          <w:p w:rsidR="00630368" w:rsidRPr="00F17381" w:rsidRDefault="00630368" w:rsidP="00630368">
            <w:pPr>
              <w:autoSpaceDE w:val="0"/>
              <w:autoSpaceDN w:val="0"/>
              <w:adjustRightInd w:val="0"/>
              <w:rPr>
                <w:sz w:val="22"/>
                <w:szCs w:val="22"/>
              </w:rPr>
            </w:pPr>
            <w:r w:rsidRPr="00F17381">
              <w:rPr>
                <w:sz w:val="22"/>
                <w:szCs w:val="22"/>
              </w:rPr>
              <w:t>Mentors are recruited, selected and assigned using a comprehensive strategy that includes a clearly articulated, open process and specific criteria that are developed by and communicated to all stakeholder groups.</w:t>
            </w:r>
          </w:p>
        </w:tc>
        <w:tc>
          <w:tcPr>
            <w:tcW w:w="1170" w:type="dxa"/>
          </w:tcPr>
          <w:p w:rsidR="00630368" w:rsidRPr="00303FF7" w:rsidRDefault="00630368" w:rsidP="00630368">
            <w:pPr>
              <w:autoSpaceDE w:val="0"/>
              <w:autoSpaceDN w:val="0"/>
              <w:adjustRightInd w:val="0"/>
              <w:jc w:val="center"/>
              <w:rPr>
                <w:b/>
                <w:sz w:val="22"/>
                <w:szCs w:val="22"/>
              </w:rPr>
            </w:pPr>
          </w:p>
        </w:tc>
        <w:tc>
          <w:tcPr>
            <w:tcW w:w="4428" w:type="dxa"/>
          </w:tcPr>
          <w:p w:rsidR="00630368" w:rsidRPr="00303FF7" w:rsidRDefault="00630368" w:rsidP="00630368">
            <w:pPr>
              <w:autoSpaceDE w:val="0"/>
              <w:autoSpaceDN w:val="0"/>
              <w:adjustRightInd w:val="0"/>
              <w:jc w:val="center"/>
              <w:rPr>
                <w:b/>
                <w:sz w:val="22"/>
                <w:szCs w:val="22"/>
              </w:rPr>
            </w:pPr>
          </w:p>
        </w:tc>
      </w:tr>
      <w:tr w:rsidR="00630368" w:rsidRPr="00F4772F">
        <w:trPr>
          <w:cantSplit/>
          <w:tblHeader/>
        </w:trPr>
        <w:tc>
          <w:tcPr>
            <w:tcW w:w="3978" w:type="dxa"/>
          </w:tcPr>
          <w:p w:rsidR="00630368" w:rsidRPr="00F17381" w:rsidRDefault="00630368" w:rsidP="00630368">
            <w:pPr>
              <w:autoSpaceDE w:val="0"/>
              <w:autoSpaceDN w:val="0"/>
              <w:adjustRightInd w:val="0"/>
              <w:rPr>
                <w:b/>
                <w:sz w:val="22"/>
                <w:szCs w:val="22"/>
              </w:rPr>
            </w:pPr>
            <w:r w:rsidRPr="00F17381">
              <w:rPr>
                <w:b/>
                <w:sz w:val="22"/>
                <w:szCs w:val="22"/>
              </w:rPr>
              <w:lastRenderedPageBreak/>
              <w:t xml:space="preserve">6 Mentor Professional Development  </w:t>
            </w:r>
          </w:p>
          <w:p w:rsidR="00630368" w:rsidRPr="00F17381" w:rsidRDefault="00630368" w:rsidP="00630368">
            <w:pPr>
              <w:autoSpaceDE w:val="0"/>
              <w:autoSpaceDN w:val="0"/>
              <w:adjustRightInd w:val="0"/>
              <w:rPr>
                <w:sz w:val="22"/>
                <w:szCs w:val="22"/>
              </w:rPr>
            </w:pPr>
            <w:r w:rsidRPr="00F17381">
              <w:rPr>
                <w:sz w:val="22"/>
                <w:szCs w:val="22"/>
              </w:rPr>
              <w:t>Mentor professional development provides a formal orientation and foundational mentor training before they begin their work with beginning teachers and should continue over the course of the mentor’s work with beginning teachers. Mentors have time, supported by the program, to engage in this mentor learning community and are consistently supported in their efforts to assist beginning teachers in their development, with a focus on student learning.</w:t>
            </w:r>
          </w:p>
        </w:tc>
        <w:tc>
          <w:tcPr>
            <w:tcW w:w="1170" w:type="dxa"/>
          </w:tcPr>
          <w:p w:rsidR="00630368" w:rsidRPr="00303FF7" w:rsidRDefault="00630368" w:rsidP="00630368">
            <w:pPr>
              <w:autoSpaceDE w:val="0"/>
              <w:autoSpaceDN w:val="0"/>
              <w:adjustRightInd w:val="0"/>
              <w:jc w:val="center"/>
              <w:rPr>
                <w:b/>
                <w:sz w:val="22"/>
                <w:szCs w:val="22"/>
              </w:rPr>
            </w:pPr>
          </w:p>
        </w:tc>
        <w:tc>
          <w:tcPr>
            <w:tcW w:w="4428" w:type="dxa"/>
          </w:tcPr>
          <w:p w:rsidR="00630368" w:rsidRPr="00303FF7" w:rsidRDefault="00630368" w:rsidP="00630368">
            <w:pPr>
              <w:autoSpaceDE w:val="0"/>
              <w:autoSpaceDN w:val="0"/>
              <w:adjustRightInd w:val="0"/>
              <w:jc w:val="center"/>
              <w:rPr>
                <w:b/>
                <w:sz w:val="22"/>
                <w:szCs w:val="22"/>
              </w:rPr>
            </w:pPr>
          </w:p>
        </w:tc>
      </w:tr>
      <w:tr w:rsidR="00630368" w:rsidRPr="00F4772F">
        <w:trPr>
          <w:cantSplit/>
          <w:tblHeader/>
        </w:trPr>
        <w:tc>
          <w:tcPr>
            <w:tcW w:w="3978" w:type="dxa"/>
          </w:tcPr>
          <w:p w:rsidR="00630368" w:rsidRPr="00F17381" w:rsidRDefault="00630368" w:rsidP="00630368">
            <w:pPr>
              <w:autoSpaceDE w:val="0"/>
              <w:autoSpaceDN w:val="0"/>
              <w:adjustRightInd w:val="0"/>
              <w:rPr>
                <w:b/>
                <w:sz w:val="22"/>
                <w:szCs w:val="22"/>
              </w:rPr>
            </w:pPr>
            <w:r w:rsidRPr="00F17381">
              <w:rPr>
                <w:b/>
                <w:sz w:val="22"/>
                <w:szCs w:val="22"/>
              </w:rPr>
              <w:t xml:space="preserve">7 Development of Beginning Teacher Practice  </w:t>
            </w:r>
          </w:p>
          <w:p w:rsidR="00630368" w:rsidRPr="00F17381" w:rsidRDefault="00630368" w:rsidP="00630368">
            <w:pPr>
              <w:autoSpaceDE w:val="0"/>
              <w:autoSpaceDN w:val="0"/>
              <w:adjustRightInd w:val="0"/>
              <w:rPr>
                <w:sz w:val="22"/>
                <w:szCs w:val="22"/>
              </w:rPr>
            </w:pPr>
            <w:r w:rsidRPr="00F17381">
              <w:rPr>
                <w:sz w:val="22"/>
                <w:szCs w:val="22"/>
              </w:rPr>
              <w:t>Beginning teachers have regularly scheduled time, provided during the two year program, to participate in ongoing professional development that is focused on their professional growth to support student learning.</w:t>
            </w:r>
          </w:p>
        </w:tc>
        <w:tc>
          <w:tcPr>
            <w:tcW w:w="1170" w:type="dxa"/>
          </w:tcPr>
          <w:p w:rsidR="00630368" w:rsidRPr="00303FF7" w:rsidRDefault="00630368" w:rsidP="00630368">
            <w:pPr>
              <w:autoSpaceDE w:val="0"/>
              <w:autoSpaceDN w:val="0"/>
              <w:adjustRightInd w:val="0"/>
              <w:jc w:val="center"/>
              <w:rPr>
                <w:b/>
                <w:sz w:val="22"/>
                <w:szCs w:val="22"/>
              </w:rPr>
            </w:pPr>
          </w:p>
        </w:tc>
        <w:tc>
          <w:tcPr>
            <w:tcW w:w="4428" w:type="dxa"/>
          </w:tcPr>
          <w:p w:rsidR="00630368" w:rsidRPr="00303FF7" w:rsidRDefault="00630368" w:rsidP="00630368">
            <w:pPr>
              <w:autoSpaceDE w:val="0"/>
              <w:autoSpaceDN w:val="0"/>
              <w:adjustRightInd w:val="0"/>
              <w:jc w:val="center"/>
              <w:rPr>
                <w:b/>
                <w:sz w:val="22"/>
                <w:szCs w:val="22"/>
              </w:rPr>
            </w:pPr>
          </w:p>
        </w:tc>
      </w:tr>
      <w:tr w:rsidR="00630368" w:rsidRPr="00F4772F">
        <w:trPr>
          <w:cantSplit/>
          <w:tblHeader/>
        </w:trPr>
        <w:tc>
          <w:tcPr>
            <w:tcW w:w="3978" w:type="dxa"/>
          </w:tcPr>
          <w:p w:rsidR="00630368" w:rsidRPr="00F17381" w:rsidRDefault="00630368" w:rsidP="00630368">
            <w:pPr>
              <w:autoSpaceDE w:val="0"/>
              <w:autoSpaceDN w:val="0"/>
              <w:adjustRightInd w:val="0"/>
              <w:rPr>
                <w:b/>
                <w:sz w:val="22"/>
                <w:szCs w:val="22"/>
              </w:rPr>
            </w:pPr>
            <w:r w:rsidRPr="00F17381">
              <w:rPr>
                <w:b/>
                <w:sz w:val="22"/>
                <w:szCs w:val="22"/>
              </w:rPr>
              <w:t xml:space="preserve">8  Formative Assessment </w:t>
            </w:r>
          </w:p>
          <w:p w:rsidR="00630368" w:rsidRPr="00F17381" w:rsidRDefault="00630368" w:rsidP="00630368">
            <w:pPr>
              <w:autoSpaceDE w:val="0"/>
              <w:autoSpaceDN w:val="0"/>
              <w:adjustRightInd w:val="0"/>
              <w:rPr>
                <w:sz w:val="22"/>
                <w:szCs w:val="22"/>
              </w:rPr>
            </w:pPr>
            <w:r w:rsidRPr="00F17381">
              <w:rPr>
                <w:sz w:val="22"/>
                <w:szCs w:val="22"/>
              </w:rPr>
              <w:t>Beginning teachers and mentors participate in formative assessment experiences, collaboratively collecting and analyzing measures of teaching progress, including appropriate documentation, mentor observations and student work, to improve classroom practices and increase student achievement.</w:t>
            </w:r>
          </w:p>
        </w:tc>
        <w:tc>
          <w:tcPr>
            <w:tcW w:w="1170" w:type="dxa"/>
          </w:tcPr>
          <w:p w:rsidR="00630368" w:rsidRPr="00303FF7" w:rsidRDefault="00630368" w:rsidP="00630368">
            <w:pPr>
              <w:autoSpaceDE w:val="0"/>
              <w:autoSpaceDN w:val="0"/>
              <w:adjustRightInd w:val="0"/>
              <w:jc w:val="center"/>
              <w:rPr>
                <w:b/>
                <w:sz w:val="22"/>
                <w:szCs w:val="22"/>
              </w:rPr>
            </w:pPr>
          </w:p>
        </w:tc>
        <w:tc>
          <w:tcPr>
            <w:tcW w:w="4428" w:type="dxa"/>
          </w:tcPr>
          <w:p w:rsidR="00630368" w:rsidRPr="00303FF7" w:rsidRDefault="00630368" w:rsidP="00630368">
            <w:pPr>
              <w:autoSpaceDE w:val="0"/>
              <w:autoSpaceDN w:val="0"/>
              <w:adjustRightInd w:val="0"/>
              <w:jc w:val="center"/>
              <w:rPr>
                <w:b/>
                <w:sz w:val="22"/>
                <w:szCs w:val="22"/>
              </w:rPr>
            </w:pPr>
          </w:p>
        </w:tc>
      </w:tr>
      <w:tr w:rsidR="00630368" w:rsidRPr="00F4772F">
        <w:trPr>
          <w:cantSplit/>
          <w:tblHeader/>
        </w:trPr>
        <w:tc>
          <w:tcPr>
            <w:tcW w:w="3978" w:type="dxa"/>
          </w:tcPr>
          <w:p w:rsidR="00630368" w:rsidRPr="00F17381" w:rsidRDefault="00630368" w:rsidP="00630368">
            <w:pPr>
              <w:autoSpaceDE w:val="0"/>
              <w:autoSpaceDN w:val="0"/>
              <w:adjustRightInd w:val="0"/>
              <w:rPr>
                <w:b/>
                <w:sz w:val="22"/>
                <w:szCs w:val="22"/>
              </w:rPr>
            </w:pPr>
            <w:r w:rsidRPr="00F17381">
              <w:rPr>
                <w:b/>
                <w:sz w:val="22"/>
                <w:szCs w:val="22"/>
              </w:rPr>
              <w:t xml:space="preserve">9  Program Evaluation  </w:t>
            </w:r>
          </w:p>
          <w:p w:rsidR="00630368" w:rsidRPr="00F17381" w:rsidRDefault="00630368" w:rsidP="00630368">
            <w:pPr>
              <w:autoSpaceDE w:val="0"/>
              <w:autoSpaceDN w:val="0"/>
              <w:adjustRightInd w:val="0"/>
              <w:rPr>
                <w:sz w:val="22"/>
                <w:szCs w:val="22"/>
              </w:rPr>
            </w:pPr>
            <w:r w:rsidRPr="00F17381">
              <w:rPr>
                <w:sz w:val="22"/>
                <w:szCs w:val="22"/>
              </w:rPr>
              <w:t>Programs operate a comprehensive, ongoing system of program development and evaluation that involves all program participants and other stakeholders.</w:t>
            </w:r>
          </w:p>
        </w:tc>
        <w:tc>
          <w:tcPr>
            <w:tcW w:w="1170" w:type="dxa"/>
          </w:tcPr>
          <w:p w:rsidR="00630368" w:rsidRPr="00303FF7" w:rsidRDefault="00630368" w:rsidP="00630368">
            <w:pPr>
              <w:autoSpaceDE w:val="0"/>
              <w:autoSpaceDN w:val="0"/>
              <w:adjustRightInd w:val="0"/>
              <w:jc w:val="center"/>
              <w:rPr>
                <w:b/>
                <w:sz w:val="22"/>
                <w:szCs w:val="22"/>
              </w:rPr>
            </w:pPr>
          </w:p>
        </w:tc>
        <w:tc>
          <w:tcPr>
            <w:tcW w:w="4428" w:type="dxa"/>
          </w:tcPr>
          <w:p w:rsidR="00630368" w:rsidRPr="00303FF7" w:rsidRDefault="00630368" w:rsidP="00630368">
            <w:pPr>
              <w:autoSpaceDE w:val="0"/>
              <w:autoSpaceDN w:val="0"/>
              <w:adjustRightInd w:val="0"/>
              <w:jc w:val="center"/>
              <w:rPr>
                <w:b/>
                <w:sz w:val="22"/>
                <w:szCs w:val="22"/>
              </w:rPr>
            </w:pPr>
          </w:p>
        </w:tc>
      </w:tr>
    </w:tbl>
    <w:p w:rsidR="00630368" w:rsidRDefault="00630368" w:rsidP="00630368">
      <w:pPr>
        <w:autoSpaceDE w:val="0"/>
        <w:autoSpaceDN w:val="0"/>
        <w:adjustRightInd w:val="0"/>
        <w:rPr>
          <w:rFonts w:ascii="TimesNewRomanBdMS" w:hAnsi="TimesNewRomanBdMS" w:cs="TimesNewRomanBdMS"/>
          <w:sz w:val="22"/>
          <w:szCs w:val="22"/>
        </w:rPr>
      </w:pPr>
    </w:p>
    <w:p w:rsidR="00630368" w:rsidRDefault="00630368" w:rsidP="00630368">
      <w:pPr>
        <w:autoSpaceDE w:val="0"/>
        <w:autoSpaceDN w:val="0"/>
        <w:adjustRightInd w:val="0"/>
        <w:rPr>
          <w:rFonts w:ascii="TimesNewRomanBdMS" w:hAnsi="TimesNewRomanBdMS" w:cs="TimesNewRomanBdMS"/>
          <w:sz w:val="22"/>
          <w:szCs w:val="22"/>
        </w:rPr>
      </w:pPr>
    </w:p>
    <w:sectPr w:rsidR="00630368" w:rsidSect="00630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BdM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0B"/>
    <w:rsid w:val="00630368"/>
    <w:rsid w:val="00CA6849"/>
    <w:rsid w:val="00D0692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A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Identifying Needs for Induction Program Development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Needs for Induction Program Development</dc:title>
  <dc:creator>Robert L Fisher</dc:creator>
  <cp:lastModifiedBy>Patricia Brady</cp:lastModifiedBy>
  <cp:revision>2</cp:revision>
  <cp:lastPrinted>2009-05-19T15:30:00Z</cp:lastPrinted>
  <dcterms:created xsi:type="dcterms:W3CDTF">2013-05-02T16:57:00Z</dcterms:created>
  <dcterms:modified xsi:type="dcterms:W3CDTF">2013-05-02T16:57:00Z</dcterms:modified>
</cp:coreProperties>
</file>